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FCDCD" w:themeFill="background2" w:themeFillShade="E5"/>
        <w:tblLook w:val="04A0" w:firstRow="1" w:lastRow="0" w:firstColumn="1" w:lastColumn="0" w:noHBand="0" w:noVBand="1"/>
      </w:tblPr>
      <w:tblGrid>
        <w:gridCol w:w="8522"/>
      </w:tblGrid>
      <w:tr w:rsidR="007A2984">
        <w:trPr>
          <w:trHeight w:val="325"/>
        </w:trPr>
        <w:tc>
          <w:tcPr>
            <w:tcW w:w="8522" w:type="dxa"/>
            <w:shd w:val="clear" w:color="auto" w:fill="CFCDCD" w:themeFill="background2" w:themeFillShade="E5"/>
          </w:tcPr>
          <w:p w:rsidR="007A2984" w:rsidRDefault="00BC34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RELATÓRIO DE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INDICAÇÃO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ESTABELECIMENTO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AO SISBI-POA</w:t>
            </w:r>
          </w:p>
        </w:tc>
      </w:tr>
    </w:tbl>
    <w:p w:rsidR="007A2984" w:rsidRDefault="007A298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rPr>
          <w:trHeight w:val="339"/>
        </w:trPr>
        <w:tc>
          <w:tcPr>
            <w:tcW w:w="8522" w:type="dxa"/>
            <w:shd w:val="clear" w:color="auto" w:fill="CFCDCD" w:themeFill="background2" w:themeFillShade="E5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t-BR"/>
              </w:rPr>
              <w:t>A - IDENTIFICAÇÃO DO ESTABELECIMENTO</w:t>
            </w:r>
          </w:p>
        </w:tc>
      </w:tr>
      <w:tr w:rsidR="007A2984">
        <w:trPr>
          <w:trHeight w:val="254"/>
        </w:trPr>
        <w:tc>
          <w:tcPr>
            <w:tcW w:w="8522" w:type="dxa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Registro no SIM nº:</w:t>
            </w:r>
          </w:p>
        </w:tc>
      </w:tr>
      <w:tr w:rsidR="007A2984">
        <w:trPr>
          <w:trHeight w:val="218"/>
        </w:trPr>
        <w:tc>
          <w:tcPr>
            <w:tcW w:w="8522" w:type="dxa"/>
          </w:tcPr>
          <w:p w:rsidR="007A2984" w:rsidRDefault="00BC34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Nome comercial / fantasia:</w:t>
            </w:r>
          </w:p>
        </w:tc>
      </w:tr>
      <w:tr w:rsidR="007A2984">
        <w:trPr>
          <w:trHeight w:val="228"/>
        </w:trPr>
        <w:tc>
          <w:tcPr>
            <w:tcW w:w="8522" w:type="dxa"/>
            <w:shd w:val="clear" w:color="auto" w:fill="auto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CNPJ / CPF:</w:t>
            </w:r>
          </w:p>
        </w:tc>
      </w:tr>
      <w:tr w:rsidR="007A2984">
        <w:trPr>
          <w:trHeight w:val="209"/>
        </w:trPr>
        <w:tc>
          <w:tcPr>
            <w:tcW w:w="8522" w:type="dxa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Endereço:</w:t>
            </w:r>
          </w:p>
        </w:tc>
      </w:tr>
      <w:tr w:rsidR="007A2984">
        <w:trPr>
          <w:trHeight w:val="218"/>
        </w:trPr>
        <w:tc>
          <w:tcPr>
            <w:tcW w:w="8522" w:type="dxa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Bairro: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Município: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Telefone: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mail:</w:t>
            </w:r>
          </w:p>
        </w:tc>
      </w:tr>
    </w:tbl>
    <w:p w:rsidR="007A2984" w:rsidRDefault="00BC344A">
      <w:pPr>
        <w:spacing w:after="0" w:line="26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LEGENDA: C = conforme; CM = conforme com </w:t>
      </w:r>
      <w:r>
        <w:rPr>
          <w:b/>
          <w:bCs/>
          <w:sz w:val="16"/>
          <w:szCs w:val="16"/>
        </w:rPr>
        <w:t>melhorias; NC = não conforme; NA = não aplicável</w:t>
      </w: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c>
          <w:tcPr>
            <w:tcW w:w="8522" w:type="dxa"/>
            <w:shd w:val="clear" w:color="auto" w:fill="CFCDCD" w:themeFill="background2" w:themeFillShade="E5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t-BR"/>
              </w:rPr>
              <w:t xml:space="preserve">B - DADOS DA </w:t>
            </w:r>
            <w:r w:rsidR="00261B38">
              <w:rPr>
                <w:rFonts w:ascii="Times New Roman" w:hAnsi="Times New Roman"/>
                <w:b/>
                <w:bCs/>
                <w:sz w:val="20"/>
                <w:szCs w:val="20"/>
                <w:lang w:val="en-US" w:eastAsia="pt-BR"/>
              </w:rPr>
              <w:t>AVALIAÇÃO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Fiscal (Médico Veterinário) responsável pelo estabelecimento: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 xml:space="preserve">Fiscais (Médico Veterinário) responsável pela </w:t>
            </w:r>
            <w:r w:rsidR="00261B38"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avaliação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: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Data início: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Data encerramento:</w:t>
            </w: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3"/>
        <w:gridCol w:w="448"/>
        <w:gridCol w:w="448"/>
        <w:gridCol w:w="456"/>
      </w:tblGrid>
      <w:tr w:rsidR="007A2984">
        <w:trPr>
          <w:trHeight w:val="241"/>
        </w:trPr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C - AVALIAÇÃO DO ESTABELECIMENTO - </w:t>
            </w: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zh-CN" w:bidi="ar"/>
              </w:rPr>
              <w:t>in loco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(12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7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itens totais)</w:t>
            </w:r>
          </w:p>
        </w:tc>
      </w:tr>
      <w:tr w:rsidR="007A2984">
        <w:trPr>
          <w:trHeight w:val="241"/>
        </w:trPr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 EDIFICAÇÃO E INSTALAÇÕES (64 itens)</w:t>
            </w:r>
          </w:p>
        </w:tc>
      </w:tr>
      <w:tr w:rsidR="007A2984">
        <w:trPr>
          <w:trHeight w:val="241"/>
        </w:trPr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 ÁREA EXTERNA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1.1.1 Área externa distante de fontes produtoras de mau cheiro, livre de objetos em desuso ou estranhos ao ambiente,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vetores e animais no pátio, de acumulo de lixo nas imediações.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1.1.2 Vias de acesso livres de formação de poeira e 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poçamentos, adequadas para a circulação de veículos transportadores.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1.1.3 Área delimitada de modo que não permita a entrada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pessoas não autorizadas e animais.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1.1.4 Acesso independente, não comum a outros usos (habitação).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1.2 ÁGUA DE ABASTECIMENTO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1.2.1 Sistema de abastecimento ligado a rede pública.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1.2.2 Sistema de captação própria, revestido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distante de fonte de contaminação.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1.2.3 Cloração da água realizada com dosador de cloro, corretamente instalado e garantido o tempo mínimo de de contato com a água (20 min).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1.2.4 Reservatório de água acessível, com volume, pressão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temperatura adequados, dotados de tampa em satisfatória condição de uso, livre de vazamentos, infiltrações e descascamentos.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1.2.5 provimento de água quente ou vapor para desenvolvimentos das operações e higienização das dependências, equipamentos e ut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ensílios, garantindo que esta chegue aos pontos de utilização com temperatura não inferior a 85º (oitenta e cinco graus centígrados).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1.2.6 Existência de responsável pela higienização do reservatório de água.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1.2.7 Encanamento em estado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satisfatório e ausência de infiltrações.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1.2.8 Disponibilidade de reagentes e equipamentos necessários á análise de potabilidade de água realizadas no estabelecimento.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1.3 ÁGUAS RESIDUAIS E MANEJO DE RESÍDUOS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1.3.1 Sistema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coletas de águas residuais com dispositivos que evitam o refluxo de mau cheiro e acesso de pragas, com retenção de resíduos.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1.3.2 Sistema de coleta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possui capacidade para receber o volume de água produzido, tempo de vazão suficiente para águas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servidas.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1.3.3 Na área de produção as águas residuais são removidas com auxilio de rodos.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1.3.4 Recipientes para coletas de resíduos no interior do estabelecimento de fácil higienização e transporte, devidamente identificados e higienizados consta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ntemente, uso de sacos de lixo apropriados, quando necessário, recipientes tampados com acionamento manual.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1.3.5 Retirada frequente dos resíduos da área de processamento, evitando focos de contaminação.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1.3.6 Existência de áreas adequadas para 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estocagem dos resíduos.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1.3.7 Sistema adequado para tratamento de resíduos e efluentes, compatível com a solução escolhida para a destinação final, aprovada pelo órgão competente.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1.4 ESGOTAMENTO SANITÁRIO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1.4.1 A s redes de esgoto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sanitárias e industrial são independentes e exclusivas para o estabelecimento.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1.4.2 Esgoto conectado a rede pública ou com adequado tratamento de resíduos aprovado.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1.5 CONTROLE INTEGRADO DE PRAGAS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1.5.1 Ausência de vetores e pragas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urbanas ou qualquer evidencia de sua presença, como fezes, ninhos e outros.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1.5.2 Adoção de medidas preventivas e corretivas com o objetivo de impedir a atração, o abrigo, o acesso e ou proliferação de vetores e pragas urbanas.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lastRenderedPageBreak/>
              <w:t xml:space="preserve">1.5.3 Em caso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adoção de controle químico, existência de comprovante de execução do serviço.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1.5.4 Controle ou programa eficaz e contínuo.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1.6 PISOS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1.6.1 Impermeáveis, antiderrapantes, construido em material resistente, de fácil limpeza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desinfecção, resistente a choques e a ação de ácidos e álcalis.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1.6.2 Contam com declividade suficiente para escoamento das águas servidas.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1.6.3 Em adequado estado de conservação (livre de defeitos, rachadura, trincas, buracos, etc.).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1.6.4 Canaletas ou ralos gralhados, em local adequado de forma a facilitar o escoamento, com dispositivos acoplados de forma a proteger a entrada de vetores e refluxos de mau cheiro.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1.7 PAREDES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1.7.1 Revestidas co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material impermeável, resistente, não descam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á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vel, de cores claras, na altura adequada para a realização das operações, que permita  fácil higienização e desinfecção.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1.7.2 Impermeabilização com cerâmica, com rejunte de cor clara.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1.7.3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Cantos formados pelas paredes entre si, são arredondados ou angulados, de modo que facilitem a higienização e não favoreçam o acumulo de sujidades.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1.7.4 Paredes construidas sem a utilização de elementos do tipo vazados ou co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bogó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1.8 TETO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1.8.1 Pé direita com altura suficiente para a disposição adequada dos equipamentos, permitindo boas condições de temperatura, ventilação e iluminação.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1.8.2 Constituídos em material impermeável, liso, de cor clara, resistente a umidade, bem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como vedação adequada e de fácil higienização.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1.8.3 Há forro de material adequado em todas as dependências onde se realizem manipulação de produtos comestíveis.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1.8.4 Em adequado estado de conservação.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1.9 ABERTURAS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1.9.1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Aberturas para área externa possuem telas milimétricas á prova de insetos, ou outro método equivalente.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1.9.2 Portas com comunicação para área externa possuem dispositivos de fechamento automático.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1.9.3 Portas e janelas, constituídas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materiais metálicos, de fácil abertura, de fácil higienização, ajustadas aos batentes sem falhas de revestimento.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1.9.4 Portas possuem altura e largura necessárias para o transito de matérias-primas e produtos.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1.10 ILUMINAÇÃO E VENTILAÇÃO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1.10.1 Iluminação natural ou artificial adequadas a atividade desenvolvida, sem ofuscamento, reflexos fortes, sombras e contrastes excessivos.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1.10.2 Iluminação artificial é feita por meio de luz fria, com dispositivo de proteção contra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estilhaços ou quedas sobre produtos, ou por meio de lâmpadas de led.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1.10.3 Instalação de exaustores ou sistema para climatização ambiente ou ventilação natural suficiente, capazes de garantir o controle térmico, ambiente livre de condensação de vapore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s, fumaça, gases e outras possíveis contaminações.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1.10.4 Existência de registros periódicos dos procedimentos de limpeza e manutenção dos componentes do sistema de climatização.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1.10.5 Captação e direção da corrente de ar não geram contra fluxo.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1.11 VESTIÁRIOS E SANITÁRIOS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 Acesso independente de qualquer outra dependência da indústria.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1.11.2 Dimensões e instalações compatíveis com o número de trabalhadores.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1.11.3.Área de vestiário para troca e guarda de roupas são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separadas fisicamente da área de privadas e mictórios.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1.11.4 Providos de duchas com água morna, bancos, armários para guarda individual de pertences, sem o uso de madeira para confecção destes. 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1.11.5 Os armários para a guarda individual de perte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nces permitem a separação da roupa comum dos uniformes de trabalho.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1.11.6 Sanitários de assentos ou mictórios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1.11.7 Instalações servidas de lavatórios de mãos com torneira acionada a pedal ou outro meio que não utilize as mãos para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abertura da torneira, providos de sabão liquido, toalha descartáveis ou dispositivos automáticos para secagem das mãos, lixeira com acionamento não manual.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1.11.8 Iluminação e ventilação adequados.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1.11.9 Para vestiários e sanitários que não são co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ntíguos ao estabelecimento, o acesso é pavimentado e coberto.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1.11.10 Vestiários e sanitários independentes, de uso exclusive para manipuladores de alimentos.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1.11.11 Apresenta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-se organizados, em adequado estado de conservação, sem acumulo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materiais estranhos ao meio, sem presença de utensílios de uso exclusivo para a área de produção (facas, chairas, etc.).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1.11.12 Instalações sanitárias para visitantes instaladas totalmente independentes da área de produção e mantidos higienizados.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1.12 ALMOXARIFADOS E DEPÓSITO DE PRODUTOS QUÍMICOS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1.12.1 Local de armazenamento de produtos químicos utilizados para limpeza e desinfecção das dependências, estão em local chaveado (caixas, armários, sala) e com identificação.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1.12.2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Todos os produtos estão identificados e possuem ficha técnica.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1.12.3 O almoxarifado possui acesso independente das demais seções da empresa, com comunicação por óculo para a passagem de materiais, com ventilação adequada.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1.13 LAYOUT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1.13.1 Adequado ao processo produtivo, número, capacidade e distribuição das dependências de acordo com o ramo de atividade, volume de produção e expedição, número de funcionários.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1.13.2 Área para recepção e depósito de matéria-prima, ingredientes e 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mbalagens destinadas a área de produção, armazenamento e expedição do produto final.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1.13.3 Seção de embalagem secundária anexa a sala de processamentos.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2.1 LAVATÓRIOS DE MÃOS E HIGIENIZADORES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2.1.1 Existência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avatórios de mãos em todas as áreas onde são manipulados produtos comestíveis ou não, providos com água corrente, torneiras com acionamento não manual, sabão liquido e inodoro, distribuídos em posições adequadas em relação ao fluxo de produção, em número s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uficiente. 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2.1.2 Higienizadores possuem água circulante ou outro meio de renovação constante da mesma, com temperatura igual ou superior a 85ºC.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2.1.3 Lavatórios de mãos e higienizadores são de aço inoxidavel.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2.1.4 Nas seções onde se faz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necessário, os lavatórios de mãos possuem toalhas de papel descartáveis ou dispositivos para secagem automática das mãos, e coletor de papel sem acionamento manual.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2.2 EQUIPAMENTOS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2.2.1 Material de construção dos equipamentos são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adequados para a finalidade (preferência por aço inox ou outro metal resistente a corrosão).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2.2.2 Superfícies lisas, que não permitem o acúmulo de resíduos, de fácil higienização, resistentes a impactos e em bom estado de conservação.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2.2.3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Instalação e distribuição dos equipamentos permite fácil acesso para higienização das estruturas.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2.2.4 Em número, desenhos e capacidade condizentes com as atividades desenvolvidas.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2.3 MÓVEIS (mesas, bancadas, vitrines, estantes...)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2.3.1 Material apropriado, preferencialmente aço inoxidável, resistente, impermeáveis, em adequado estado de conservação, com superfícies integras, lisas e com cantos angulados, que não permitam o acumulo de resíduos.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2.3.2 Não há presença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madeiras, mesmo na constituição interna dos móveis.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2.4 UTENSÍLIOS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2.4.1 Material adequado de superfície lisa, sem proeminências, não poroso, que permita adequada higienização.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2.4.2 Não há presença de madeira na constituição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qualquer utensílio.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2.4.3 A guarda de utensílios é feito em local fechado, como armários na sala de produção  ou em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sala especifica para estes.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2.4.4 Estão disponíveis em número suficiente e apropriado ao tipo de operação utilizada.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2.5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HIGIENIZAÇÃO DOS EQUIPAMENTOS MÓVEIS E UTENSÍLIOS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2.5.1 Existência de um responsável pela operação de higienização comprovadamente capacitado.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2.5.2 Frequência de higienização adequada.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2.5.3.Produtos de higienização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regularizados pelo ministério da saúde.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2.5.4 Produtos utilizados de forma e diluição adequados.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2.5.5 Disponibilidade dos produtos de higienização necessários a realização das operações.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2.5.6 Disponibilidade e adequação dos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utensílios necessários  a realização das operações em bom estado de conservação e número suficiente.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2.5.7 Adequada higienização.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3.1 UNIFORMES E ASSEIO PESSOAL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3.1.1 Utilização de uniformes em cores claras, em bom estado de conservação, adequados a atividade e exclusivo da área de produção de alimentos. 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3.1.2 Pessoal que exerce atividades não relacionadas a produtos comestíveis, uniformes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coloridos.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3.1.3 Protetores impermeáveis de roupas, confeccionados em plástico transparente ou branco.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3.1.4 Uso completo de uniforme, touca,, calça, jaleco, botas, avental impermeável, conforme a atividade industrial desenvolvida.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3.1.5 Asseio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pessoal, boa apresentação, mãos limpas, unhas curtas, sem esmalte, sem adornos, manipuladores barbeados, uso de toucas com contenção total dos cabelos.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3.2 PROGRAMA DE CAPACITAÇÃO DOS MANIPULADORES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3.2.1 Existência de programas de capacitação adequado e contínuo relacionado a boas práticas de fabricação com registros. 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3.2.2 Cartazes de orientação sobre a correta lavagem 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mãos e demais hábitos higiênicos, fixados em local estratégico.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3.2.3 Existência de verificação pelo responsável do controle de qualidade do asseio pessoal na entrada dos manipuladores na área de produção.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3.2.4 Existência de treinamento e orientação dos colaboradores quando iniciam as atividades relacionadas a man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ipulação de alimentos, com registro.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3.3 PROGRAMA DE CONTROLE DE SAÚDE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3.3.1 Existência de registro dos atestados de saúde ocupacional, e atestado com comprovação de aptidão á manipulação.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3.3.2 Exames são feitos de forma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periódica, conforme legislação vigente.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4.1 MATÉRIA-PRIMA, INGREDIENTES E EMBALAGENS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4.1.1 Operações de recepção de matéria-prima, ingredientes e embalagens são realizadas em local protegido e isolado da área de processamento.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4.1.2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Matérias-primas, ingredientes e embalagens são inspecionados na recepção, há registo de controle.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4.1.3 Matérias-primas e ingredientes aguardando liberação e aqueles aprovados estão devidamente identificados.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4.1.4 Matérias-primas,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ingredientes e embalagens reprovados no controle de qualidade são devolvidos imediatamente ou identificados e armazenados em local separado.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4.1.5 Rótulos da matéria-prima e ingredientes atendem a legislação vigente.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4.1.6 Armazenamento em local ad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equado e organizado, sobre estrados distantes do piso e ou sobre paletes, bem conservados e limpos, ou sobre outro sistema aprovado, afastados das paredes e distantes do teto, de forma que permita apropriada higienização, iluminação e circulação de ar.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4.1.7 Uso das matérias-primas, ingredientes e embalagens respeitada a ordem de entrada dos mesmos, sendo observado o pra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o de validade.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4.1.8 Acondicionamento, organização e higiene adequadas as embalagens a serem utilizadas.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4.1.9 Câmara de resf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riamento, câmara de congelamento, freezer. Rede de frio em geral, adequadas ao volume e aos diferentes tipos de matérias-primas e ingredientes.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4.2 FLUXO DE PRODUÇÃO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4.2.1 Locais para pré-preparo (área suja) isolados da área de prepare por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barreira física ou técnica.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4.2.2 Controle da circulação, conforme o fluxo de produção, e acesso pessoal.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4.2.3 Conservação adequada de materiais destinados ao processamento.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4.2.4 Fluxo de produção ordenado, linear e sem cruzamento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(contaminação cruzada, contra fluxo).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4.3 CÂMARAS DE RESFRIAMENTO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4.3.1 Constituídas de paredes lisas, de fácil higienização, com portas metálicas e outro matéria adequado, com dimensões suficientes para atender a demanda de fluxo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produção. Com iluminação e ventilação adequadas e sem a presença de ralos ou canaletas no seu interior.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4.3.2 Existem câmaras separadas para cada etapa do processo de fabricação, caso não sejam separadas, são tomados os devidos cuidados para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evitar contaminação cruzada.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4.3.3 Presença de equipamentos para controle de temperatura visíveis e de fácil acesso.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4.4 ROTULAGEM E ARMAZENAMENTO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4.4.1 Dizeres de rotulagem com identificação visível, de acordo com a legislação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conforme aprovado pelo SIM.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4.4.2 Produto final acondicionado em embalagens adequadas e íntegras.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4.4.3 Ausência de material estranho, estragado, tóxico, ou que comprometam a identidade, qualidade, e inocuidade do produto.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4.4.4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Armazenamento em local com condições higiênico-sanitárias e temperaturas adequadas.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4.4.5 Câmaras de resfriamento, câmaras de congelamento, freezers, rede de frio em geral, adequadas ao volume e aos diferentes tipos de produtos.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4.4.6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Produtos avariados, com prazo de validade vencido, devolvidos ou recolhidos do mercado, devidamente identificados e armazenados em local separado e de forma organizada.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4.4.7 Produtos finais aguardando resultado analítico ou em quarentena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aqueles aprovados devidamente identificados.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4.5 CONTROLE DE QUALIDADE DO PRODUTO FINAL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4.5.1 Existência de equipamentos e materia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nescessários para a análise do produto final realizadas no estabelecimento.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4.5.2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Acompanhamento.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4.6 TRANSPORTE DO PRODUTO FINAL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4.6.1 Produto expedido e transportado na temperatura especificada no rótulo.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4.6.2 Veículo limpo e em bom estado de conservação e condições higiênico-sanitárias adequadas para 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transporte.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4.6.3 Área de expedição de produtos projetada com cobertura e prolongamento suficiente para a proteção das operações realizadas, com as portas com dimencionamento suficiente para o carregamento adequado do produto final.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4.6.4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Transporte mantém a identidade e qualidade do produto.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4.6.5 Veículo exclusivo para o transporte de alimento, não transporta outras cargas que comprometam a segurança do produto.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4.6.6 Presença de equipamentos para controle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temperatura, quando o produto necessita de condições especia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de conservação.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6471"/>
        <w:gridCol w:w="448"/>
        <w:gridCol w:w="448"/>
        <w:gridCol w:w="456"/>
      </w:tblGrid>
      <w:tr w:rsidR="007A2984">
        <w:trPr>
          <w:trHeight w:val="241"/>
        </w:trPr>
        <w:tc>
          <w:tcPr>
            <w:tcW w:w="7173" w:type="dxa"/>
            <w:gridSpan w:val="2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D - AVALIAÇÃO DO ESTABELECIMENTO - DOCUMENTAL (26 itens)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</w:tr>
      <w:tr w:rsidR="007A2984">
        <w:trPr>
          <w:trHeight w:val="241"/>
        </w:trPr>
        <w:tc>
          <w:tcPr>
            <w:tcW w:w="7173" w:type="dxa"/>
            <w:gridSpan w:val="2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5. PROGRAMAS DE AUTO CONTROLE (3 itens)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rPr>
          <w:trHeight w:val="241"/>
        </w:trPr>
        <w:tc>
          <w:tcPr>
            <w:tcW w:w="7173" w:type="dxa"/>
            <w:gridSpan w:val="2"/>
            <w:shd w:val="clear" w:color="auto" w:fill="auto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5.1 Descrição dos processos no Manual BPF é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condizente com a operação realizada in loco no processo de fabricação.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gridSpan w:val="2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5.2 Operações executadas estão de acordo com o manual de BPF.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173" w:type="dxa"/>
            <w:gridSpan w:val="2"/>
            <w:shd w:val="clear" w:color="auto" w:fill="auto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5.3 Ações preventivas e corretivas são executadas conforme o descrito no manual, com registro de data, hora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ação tomada.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PAC</w:t>
            </w:r>
          </w:p>
        </w:tc>
        <w:tc>
          <w:tcPr>
            <w:tcW w:w="6471" w:type="dxa"/>
            <w:shd w:val="clear" w:color="auto" w:fill="CFCDCD" w:themeFill="background2" w:themeFillShade="E5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48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56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Manutenção (iluminação, águas residuais e calibração).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02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Água de abastecimento.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03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integrado de pragas.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 w:val="restart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04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Programa escrito de h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giene industrial e operacional.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Registros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implementação de ação corretiva conforme programa escrito.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Registros diários de monitoramento da higienização pré-operacional e ação corretiva.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Registros diários de monitoramento da higienização operacional e ação corretiva.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Registros de verificação e ação corretiva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Identificação do responsável, data e assinatura no programa escrito e em todos os seus registros.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05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Higiene e hábitos higiênicos dos funcionários.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06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Procedimentos sanitários operacionais (PSO).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07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matéria-prima (inclusive aquelas destinadas ao aproveitamento condicional), ingredientes e material de embalagem.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08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temperaturas.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 w:val="restart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09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Programa escrito de Análise de Perigos e Pontos Criticos de Controle.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de monitoramento e ações corretivas.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de verificações e ações corretivas.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de validação do programa escrito.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vMerge/>
            <w:vAlign w:val="center"/>
          </w:tcPr>
          <w:p w:rsidR="007A2984" w:rsidRDefault="007A298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Identificação do responsável, data e assinatura no programa escrito e em todos seus registros.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shd w:val="clear" w:color="auto" w:fill="auto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Análises laboratoriais.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shd w:val="clear" w:color="auto" w:fill="auto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11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formulação de produtos e combate a fraude.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shd w:val="clear" w:color="auto" w:fill="auto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12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Rastreabilidade e recolhimento.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shd w:val="clear" w:color="auto" w:fill="auto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13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Bem-estar animal.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" w:type="dxa"/>
            <w:shd w:val="clear" w:color="auto" w:fill="auto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14</w:t>
            </w:r>
          </w:p>
        </w:tc>
        <w:tc>
          <w:tcPr>
            <w:tcW w:w="6471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Identificação, remoção, segregação e destinação do material especificado de risco (MER).</w:t>
            </w: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48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56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DESCRIÇÃO DAS OP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RTUNIDADES DE MEL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H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ORIAS OU NÃO CONFORMIDADES</w:t>
            </w:r>
          </w:p>
        </w:tc>
      </w:tr>
      <w:tr w:rsidR="007A2984">
        <w:trPr>
          <w:trHeight w:val="1080"/>
        </w:trPr>
        <w:tc>
          <w:tcPr>
            <w:tcW w:w="8522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E - CLASSIFICAÇÃO DO ESTABELECIMENTO (15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itens totais no relatório)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Itens ditos como conformes =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Itens ditos como Não-conformes =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Itens ditos como Não-aplicáveis =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Cálculo de itens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utilizados para classificação do estabelecimento: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Itens totais - Itens NA: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153 -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Itens Utilizados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Classificação de estabelecimento 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nº de itens conforme X 100/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nº de itens utilizados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XXXX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%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Percentual de Conformidade 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%</w:t>
            </w: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PARECER</w:t>
            </w:r>
          </w:p>
        </w:tc>
      </w:tr>
      <w:tr w:rsidR="007A2984">
        <w:trPr>
          <w:trHeight w:val="875"/>
        </w:trPr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85 a 100% de atendimento dos itens - PARECER FAVORÁVEL A INDICAÇÃO RECOMENDADA A COORDENAÇÃO DO CISA.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75 a 84,99% de atendimento dos itens - INDICAÇÃO NÃO RECOMENDADA A COORDENAÇÃO DO CISA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(  ) 0 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74,99% de atendimento dos itens - NÃO INDICADO A COORDENAÇÃO DO CISA.</w:t>
            </w:r>
          </w:p>
        </w:tc>
      </w:tr>
      <w:tr w:rsidR="007A2984">
        <w:trPr>
          <w:trHeight w:val="226"/>
        </w:trPr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O estabelecimento fico una mesma classificação em relação a vistoria anterior   (   ) SIM   (   ) NÃO</w:t>
            </w: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7"/>
        <w:gridCol w:w="1495"/>
      </w:tblGrid>
      <w:tr w:rsidR="007A2984">
        <w:tc>
          <w:tcPr>
            <w:tcW w:w="8522" w:type="dxa"/>
            <w:gridSpan w:val="2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OBSERVAÇÕES E SUGESTÕES</w:t>
            </w: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c>
          <w:tcPr>
            <w:tcW w:w="7027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1495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F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DISPOSIÇÃO FINAL</w:t>
            </w:r>
          </w:p>
        </w:tc>
      </w:tr>
      <w:tr w:rsidR="007A2984"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A verificação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 avaliação da exe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cução e dos registros implementados pelo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stabelecimento, em relação aos requisitos do Departamento de Inspeção Sanitário do CISA atende as condições para a equivalência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ao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SISBI-POA, indicam que: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(   ) Necessita apresentar plano de ação para as adequações das não conformidades e implementação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melhorias.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 ) Executa as ações conforme os requisitos do SISBI-POA, havendo oportunidades de melhorias para as quais deve apresentar plano de ação.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 ) Executa todas as ações conforme os requisitos do SISBI-POA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com parecer favorável a indicação a coor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denação do CISA para supervisão e indicação a equivalência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7A2984">
        <w:trPr>
          <w:trHeight w:val="736"/>
        </w:trPr>
        <w:tc>
          <w:tcPr>
            <w:tcW w:w="8522" w:type="dxa"/>
          </w:tcPr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  <w:lang w:val="en-US" w:eastAsia="pt-BR"/>
              </w:rPr>
              <w:t>ENTREGA OBRIGATÓRIA:</w:t>
            </w: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O estabelecimento tem o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Prazo de 20 (vinte) DIAS ÚTEIS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para entregar por escrito ao serviço oficial o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Plano de Ação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, descrevendo as medidas corretivas adotadas para cada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um dos itens supracitados como NC neste relatório.</w:t>
            </w: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8"/>
        <w:gridCol w:w="4384"/>
      </w:tblGrid>
      <w:tr w:rsidR="007A2984">
        <w:trPr>
          <w:trHeight w:val="241"/>
        </w:trPr>
        <w:tc>
          <w:tcPr>
            <w:tcW w:w="8522" w:type="dxa"/>
            <w:gridSpan w:val="2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G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AUTENTICAÇÃO DO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RESPONSÁVEL PELO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ESTABELECIMENTO</w:t>
            </w:r>
          </w:p>
        </w:tc>
      </w:tr>
      <w:tr w:rsidR="007A2984">
        <w:trPr>
          <w:trHeight w:val="241"/>
        </w:trPr>
        <w:tc>
          <w:tcPr>
            <w:tcW w:w="4138" w:type="dxa"/>
            <w:shd w:val="clear" w:color="auto" w:fill="auto"/>
            <w:vAlign w:val="center"/>
          </w:tcPr>
          <w:p w:rsidR="007A2984" w:rsidRDefault="00BC344A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NOME:</w:t>
            </w:r>
          </w:p>
        </w:tc>
        <w:tc>
          <w:tcPr>
            <w:tcW w:w="4384" w:type="dxa"/>
            <w:shd w:val="clear" w:color="auto" w:fill="auto"/>
            <w:vAlign w:val="center"/>
          </w:tcPr>
          <w:p w:rsidR="007A2984" w:rsidRDefault="00BC344A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CPF:</w:t>
            </w:r>
          </w:p>
        </w:tc>
      </w:tr>
      <w:tr w:rsidR="007A2984">
        <w:trPr>
          <w:trHeight w:val="574"/>
        </w:trPr>
        <w:tc>
          <w:tcPr>
            <w:tcW w:w="8522" w:type="dxa"/>
            <w:gridSpan w:val="2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RECEBI CÓPIA DESTE RELATÓRIO EM:</w:t>
            </w: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BC34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__________ / ______________ / __________</w:t>
            </w: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Carimbo e Assinatura</w:t>
            </w:r>
          </w:p>
        </w:tc>
      </w:tr>
    </w:tbl>
    <w:p w:rsidR="007A2984" w:rsidRDefault="007A298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7A298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H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AUTENTICAÇÃO DO FISCAL RESPONSÁVEL PEL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A VERIFICAÇÃO E INDICAÇÃO</w:t>
            </w:r>
          </w:p>
        </w:tc>
      </w:tr>
      <w:tr w:rsidR="007A2984">
        <w:trPr>
          <w:trHeight w:val="1430"/>
        </w:trPr>
        <w:tc>
          <w:tcPr>
            <w:tcW w:w="8522" w:type="dxa"/>
          </w:tcPr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7A29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7A2984" w:rsidRDefault="00BC344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Carimbo e Assinatura</w:t>
            </w:r>
          </w:p>
        </w:tc>
      </w:tr>
    </w:tbl>
    <w:p w:rsidR="007A2984" w:rsidRDefault="007A2984"/>
    <w:sectPr w:rsidR="007A298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44A" w:rsidRDefault="00BC344A">
      <w:pPr>
        <w:spacing w:line="240" w:lineRule="auto"/>
      </w:pPr>
      <w:r>
        <w:separator/>
      </w:r>
    </w:p>
  </w:endnote>
  <w:endnote w:type="continuationSeparator" w:id="0">
    <w:p w:rsidR="00BC344A" w:rsidRDefault="00BC34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44A" w:rsidRDefault="00BC344A">
      <w:pPr>
        <w:spacing w:after="0"/>
      </w:pPr>
      <w:r>
        <w:separator/>
      </w:r>
    </w:p>
  </w:footnote>
  <w:footnote w:type="continuationSeparator" w:id="0">
    <w:p w:rsidR="00BC344A" w:rsidRDefault="00BC34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87CA5"/>
    <w:multiLevelType w:val="singleLevel"/>
    <w:tmpl w:val="10087CA5"/>
    <w:lvl w:ilvl="0">
      <w:start w:val="5"/>
      <w:numFmt w:val="upperLetter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08"/>
  <w:hyphenationZone w:val="425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5715196"/>
    <w:rsid w:val="00261B38"/>
    <w:rsid w:val="007A2984"/>
    <w:rsid w:val="00BC344A"/>
    <w:rsid w:val="05715196"/>
    <w:rsid w:val="7A17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26FEC"/>
  <w15:docId w15:val="{E75F27E8-42EA-48AC-9A54-22A7D47B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3365</Words>
  <Characters>18176</Characters>
  <Application>Microsoft Office Word</Application>
  <DocSecurity>0</DocSecurity>
  <Lines>151</Lines>
  <Paragraphs>42</Paragraphs>
  <ScaleCrop>false</ScaleCrop>
  <Company/>
  <LinksUpToDate>false</LinksUpToDate>
  <CharactersWithSpaces>21499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Mário Roberto Andres</dc:creator>
  <cp:lastModifiedBy>Fabiano José Kaiber</cp:lastModifiedBy>
  <cp:revision>2</cp:revision>
  <dcterms:created xsi:type="dcterms:W3CDTF">2025-01-31T20:21:00Z</dcterms:created>
  <dcterms:modified xsi:type="dcterms:W3CDTF">2025-04-09T19:39:00Z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D4E1DB722FAB46B3B811D363B5485CB1_11</vt:lpwstr>
  </property>
</Properties>
</file>